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социально-экономического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 соответствии с 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 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 предметам рассчитано на уровень образования с учетом максимальной общей нагрузки при пятидневной учебной неделе и 68 учебных недель за 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Социально-экономический профиль ориентирует на профессии, связанные с социальной сферой, финансами и экономикой, с обработкой информации, с такими сферами деятельности, как управление, предпринимательство, работа с финансами и др. В данном профиле для изучения на углубленном уровне выбираются учебные предметы преимущественно из предметных областей «Математика и информатика», «Общественно-научные предметы».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 основу учебного плана положен вариант федерального учебного плана социально-экономического профиля с углубленным изучением обществознания и географии при пятидневной учебной неделе.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социально-экономического профиля обучения включает 13 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и защиты Родины») и 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 учебных предметов на 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из соответствующей профилю обучения предметной области «Общественно-научные предметы»: обществознания и географии.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 ориентацией на будущую сферу профессиональной деятельности с 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 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экономики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Социально-экономическая 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СОЦИАЛЬНО-ЭКОНОМИЧЕСКОГО ПРОФИЛЯ СОО ПРИ ПЯТИДНЕВНОЙ УЧЕБНОЙ НЕДЕЛЕ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216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учебные недели)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11-й класс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 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 начала математического анализа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 статистика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предпринимательской деятельности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экономики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Социально-экономическая география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в неделю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 два года обучения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2312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ef4142207714d1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